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</w:t>
      </w:r>
      <w:r w:rsidR="00F07EA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следующее распределение прибыли и убытков Общества за 2024 год:</w:t>
      </w:r>
    </w:p>
    <w:p w:rsidR="00DD4E74" w:rsidRPr="00DD4E74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6"/>
          <w:szCs w:val="6"/>
        </w:rPr>
      </w:pPr>
    </w:p>
    <w:tbl>
      <w:tblPr>
        <w:tblStyle w:val="TableNormal"/>
        <w:tblW w:w="48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4"/>
        <w:gridCol w:w="2026"/>
      </w:tblGrid>
      <w:tr w:rsidTr="00DD4E74">
        <w:tblPrEx>
          <w:tblW w:w="482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74" w:rsidRPr="00DD4E74" w:rsidP="00DD4E74">
            <w:pPr>
              <w:tabs>
                <w:tab w:val="left" w:pos="426"/>
                <w:tab w:val="left" w:pos="851"/>
              </w:tabs>
              <w:ind w:firstLine="567"/>
              <w:jc w:val="both"/>
              <w:rPr>
                <w:b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74" w:rsidRPr="00DD4E74" w:rsidP="00DD4E74">
            <w:pPr>
              <w:tabs>
                <w:tab w:val="left" w:pos="34"/>
                <w:tab w:val="left" w:pos="426"/>
              </w:tabs>
              <w:ind w:firstLine="567"/>
              <w:jc w:val="right"/>
              <w:rPr>
                <w:b/>
                <w:i/>
                <w:color w:val="000000"/>
                <w:spacing w:val="-4"/>
                <w:sz w:val="14"/>
                <w:szCs w:val="14"/>
              </w:rPr>
            </w:pPr>
            <w:r w:rsidRPr="00DD4E74">
              <w:rPr>
                <w:b/>
                <w:i/>
                <w:color w:val="000000"/>
                <w:spacing w:val="-4"/>
                <w:sz w:val="14"/>
                <w:szCs w:val="14"/>
              </w:rPr>
              <w:t>(</w:t>
            </w:r>
            <w:r w:rsidRPr="00DD4E74">
              <w:rPr>
                <w:b/>
                <w:i/>
                <w:color w:val="000000"/>
                <w:spacing w:val="-4"/>
                <w:sz w:val="14"/>
                <w:szCs w:val="14"/>
              </w:rPr>
              <w:t>тыс.руб</w:t>
            </w:r>
            <w:r w:rsidRPr="00DD4E74">
              <w:rPr>
                <w:b/>
                <w:i/>
                <w:color w:val="000000"/>
                <w:spacing w:val="-4"/>
                <w:sz w:val="14"/>
                <w:szCs w:val="14"/>
              </w:rPr>
              <w:t>.)</w:t>
            </w:r>
          </w:p>
        </w:tc>
      </w:tr>
      <w:tr w:rsidTr="00DD4E74">
        <w:tblPrEx>
          <w:tblW w:w="4820" w:type="dxa"/>
          <w:tblInd w:w="0" w:type="dxa"/>
          <w:tblLayout w:type="fixed"/>
          <w:tblLook w:val="01E0"/>
        </w:tblPrEx>
        <w:trPr>
          <w:trHeight w:val="321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74" w:rsidRPr="00DD4E74" w:rsidP="00DD4E74">
            <w:pPr>
              <w:tabs>
                <w:tab w:val="left" w:pos="426"/>
                <w:tab w:val="left" w:pos="851"/>
              </w:tabs>
              <w:ind w:firstLine="567"/>
              <w:jc w:val="right"/>
              <w:rPr>
                <w:b/>
                <w:i/>
                <w:color w:val="000000"/>
                <w:spacing w:val="-4"/>
                <w:sz w:val="14"/>
                <w:szCs w:val="14"/>
              </w:rPr>
            </w:pPr>
            <w:r w:rsidRPr="00DD4E74">
              <w:rPr>
                <w:b/>
                <w:i/>
                <w:color w:val="000000"/>
                <w:spacing w:val="-4"/>
                <w:sz w:val="14"/>
                <w:szCs w:val="14"/>
              </w:rPr>
              <w:t>Нераспределенная прибыль (убыток) отчетного периода: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74" w:rsidRPr="00DD4E74" w:rsidP="00DD4E74">
            <w:pPr>
              <w:ind w:firstLine="567"/>
              <w:jc w:val="right"/>
              <w:rPr>
                <w:b/>
                <w:color w:val="000000"/>
                <w:sz w:val="14"/>
                <w:szCs w:val="14"/>
              </w:rPr>
            </w:pPr>
            <w:r w:rsidRPr="00DD4E74">
              <w:rPr>
                <w:b/>
                <w:color w:val="000000"/>
                <w:sz w:val="14"/>
                <w:szCs w:val="14"/>
              </w:rPr>
              <w:t xml:space="preserve">10 929 681                                                                                                           </w:t>
            </w:r>
          </w:p>
        </w:tc>
      </w:tr>
      <w:tr w:rsidTr="00DD4E74">
        <w:tblPrEx>
          <w:tblW w:w="4820" w:type="dxa"/>
          <w:tblInd w:w="0" w:type="dxa"/>
          <w:tblLayout w:type="fixed"/>
          <w:tblLook w:val="01E0"/>
        </w:tblPrEx>
        <w:trPr>
          <w:trHeight w:val="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74" w:rsidRPr="00DD4E74" w:rsidP="00DD4E74">
            <w:pPr>
              <w:tabs>
                <w:tab w:val="left" w:pos="426"/>
                <w:tab w:val="left" w:pos="851"/>
              </w:tabs>
              <w:ind w:firstLine="567"/>
              <w:jc w:val="center"/>
              <w:rPr>
                <w:b/>
                <w:i/>
                <w:color w:val="000000"/>
                <w:spacing w:val="-4"/>
                <w:sz w:val="14"/>
                <w:szCs w:val="14"/>
              </w:rPr>
            </w:pPr>
            <w:r w:rsidRPr="00DD4E74">
              <w:rPr>
                <w:b/>
                <w:i/>
                <w:color w:val="000000"/>
                <w:spacing w:val="-4"/>
                <w:sz w:val="14"/>
                <w:szCs w:val="14"/>
              </w:rPr>
              <w:t>в том числе:</w:t>
            </w:r>
          </w:p>
        </w:tc>
      </w:tr>
      <w:tr w:rsidTr="00DD4E74">
        <w:tblPrEx>
          <w:tblW w:w="4820" w:type="dxa"/>
          <w:tblInd w:w="0" w:type="dxa"/>
          <w:tblLayout w:type="fixed"/>
          <w:tblLook w:val="01E0"/>
        </w:tblPrEx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74" w:rsidRPr="00DD4E74" w:rsidP="00DD4E74">
            <w:pPr>
              <w:tabs>
                <w:tab w:val="left" w:pos="426"/>
                <w:tab w:val="left" w:pos="851"/>
              </w:tabs>
              <w:ind w:firstLine="567"/>
              <w:jc w:val="right"/>
              <w:rPr>
                <w:b/>
                <w:i/>
                <w:color w:val="000000"/>
                <w:spacing w:val="-4"/>
                <w:sz w:val="14"/>
                <w:szCs w:val="14"/>
              </w:rPr>
            </w:pPr>
            <w:r w:rsidRPr="00DD4E74">
              <w:rPr>
                <w:b/>
                <w:i/>
                <w:color w:val="000000"/>
                <w:spacing w:val="-4"/>
                <w:sz w:val="14"/>
                <w:szCs w:val="14"/>
              </w:rPr>
              <w:t>- резервный фонд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4E74" w:rsidRPr="00DD4E74" w:rsidP="00DD4E74">
            <w:pPr>
              <w:tabs>
                <w:tab w:val="left" w:pos="426"/>
                <w:tab w:val="left" w:pos="851"/>
              </w:tabs>
              <w:ind w:firstLine="567"/>
              <w:jc w:val="right"/>
              <w:rPr>
                <w:b/>
                <w:color w:val="000000"/>
                <w:spacing w:val="-4"/>
                <w:sz w:val="14"/>
                <w:szCs w:val="14"/>
              </w:rPr>
            </w:pPr>
            <w:r w:rsidRPr="00DD4E74">
              <w:rPr>
                <w:b/>
                <w:color w:val="000000"/>
                <w:sz w:val="14"/>
                <w:szCs w:val="14"/>
              </w:rPr>
              <w:t xml:space="preserve">467 269 </w:t>
            </w:r>
          </w:p>
        </w:tc>
      </w:tr>
      <w:tr w:rsidTr="00DD4E74">
        <w:tblPrEx>
          <w:tblW w:w="4820" w:type="dxa"/>
          <w:tblInd w:w="0" w:type="dxa"/>
          <w:tblLayout w:type="fixed"/>
          <w:tblLook w:val="01E0"/>
        </w:tblPrEx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74" w:rsidRPr="00DD4E74" w:rsidP="00DD4E74">
            <w:pPr>
              <w:tabs>
                <w:tab w:val="left" w:pos="426"/>
                <w:tab w:val="left" w:pos="851"/>
              </w:tabs>
              <w:ind w:firstLine="567"/>
              <w:jc w:val="right"/>
              <w:rPr>
                <w:b/>
                <w:i/>
                <w:color w:val="000000"/>
                <w:spacing w:val="-4"/>
                <w:sz w:val="14"/>
                <w:szCs w:val="14"/>
              </w:rPr>
            </w:pPr>
            <w:r w:rsidRPr="00DD4E74">
              <w:rPr>
                <w:b/>
                <w:i/>
                <w:color w:val="000000"/>
                <w:spacing w:val="-4"/>
                <w:sz w:val="14"/>
                <w:szCs w:val="14"/>
              </w:rPr>
              <w:t>- дивиденды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E74" w:rsidRPr="00DD4E74" w:rsidP="00DD4E74">
            <w:pPr>
              <w:tabs>
                <w:tab w:val="left" w:pos="426"/>
                <w:tab w:val="left" w:pos="851"/>
              </w:tabs>
              <w:ind w:firstLine="567"/>
              <w:jc w:val="right"/>
              <w:rPr>
                <w:b/>
                <w:color w:val="000000"/>
                <w:spacing w:val="-4"/>
                <w:sz w:val="14"/>
                <w:szCs w:val="14"/>
              </w:rPr>
            </w:pPr>
            <w:r w:rsidRPr="00DD4E74">
              <w:rPr>
                <w:b/>
                <w:color w:val="000000"/>
                <w:sz w:val="14"/>
                <w:szCs w:val="14"/>
              </w:rPr>
              <w:t xml:space="preserve">8 147 456 </w:t>
            </w:r>
          </w:p>
        </w:tc>
      </w:tr>
      <w:tr w:rsidTr="00DD4E74">
        <w:tblPrEx>
          <w:tblW w:w="4820" w:type="dxa"/>
          <w:tblInd w:w="0" w:type="dxa"/>
          <w:tblLayout w:type="fixed"/>
          <w:tblLook w:val="01E0"/>
        </w:tblPrEx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E74" w:rsidRPr="00DD4E74" w:rsidP="00DD4E74">
            <w:pPr>
              <w:tabs>
                <w:tab w:val="left" w:pos="426"/>
                <w:tab w:val="left" w:pos="851"/>
              </w:tabs>
              <w:ind w:firstLine="567"/>
              <w:jc w:val="right"/>
              <w:rPr>
                <w:b/>
                <w:i/>
                <w:color w:val="000000"/>
                <w:spacing w:val="-4"/>
                <w:sz w:val="14"/>
                <w:szCs w:val="14"/>
              </w:rPr>
            </w:pPr>
            <w:r w:rsidRPr="00DD4E74">
              <w:rPr>
                <w:b/>
                <w:i/>
                <w:color w:val="000000"/>
                <w:spacing w:val="-4"/>
                <w:sz w:val="14"/>
                <w:szCs w:val="14"/>
              </w:rPr>
              <w:t>- оставить в распоряжении ПАО</w:t>
            </w:r>
            <w:r w:rsidR="00F07EA6">
              <w:rPr>
                <w:b/>
                <w:i/>
                <w:color w:val="000000"/>
                <w:spacing w:val="-4"/>
                <w:sz w:val="14"/>
                <w:szCs w:val="14"/>
              </w:rPr>
              <w:t> </w:t>
            </w:r>
            <w:r w:rsidRPr="00DD4E74">
              <w:rPr>
                <w:b/>
                <w:i/>
                <w:color w:val="000000"/>
                <w:spacing w:val="-4"/>
                <w:sz w:val="14"/>
                <w:szCs w:val="14"/>
              </w:rPr>
              <w:t>«ОГК-2»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4E74" w:rsidRPr="00DD4E74" w:rsidP="00DD4E74">
            <w:pPr>
              <w:tabs>
                <w:tab w:val="left" w:pos="426"/>
                <w:tab w:val="left" w:pos="851"/>
              </w:tabs>
              <w:ind w:firstLine="567"/>
              <w:jc w:val="right"/>
              <w:rPr>
                <w:b/>
                <w:color w:val="000000"/>
                <w:spacing w:val="-4"/>
                <w:sz w:val="14"/>
                <w:szCs w:val="14"/>
              </w:rPr>
            </w:pPr>
            <w:r w:rsidRPr="00DD4E74">
              <w:rPr>
                <w:b/>
                <w:color w:val="000000"/>
                <w:sz w:val="14"/>
                <w:szCs w:val="14"/>
              </w:rPr>
              <w:t xml:space="preserve">2 314 956 </w:t>
            </w:r>
          </w:p>
        </w:tc>
      </w:tr>
    </w:tbl>
    <w:p w:rsidR="00DD4E74" w:rsidRPr="00F07EA6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6"/>
          <w:szCs w:val="6"/>
        </w:rPr>
      </w:pPr>
    </w:p>
    <w:p w:rsidR="008D1516" w:rsidRPr="00DD4E74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2.</w:t>
      </w:r>
      <w:r w:rsidR="00F07EA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Выплатить дивиденды по обыкновенным акциям Общества по результатам 2024 года в размере 0,0598167018</w:t>
      </w:r>
      <w:r w:rsidR="00F07EA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рубля на одну обыкновенную акцию Общества в денежной форме в порядке и в сроки, установленные действующим законодательством Российской Федерации. </w:t>
      </w:r>
    </w:p>
    <w:p w:rsidR="008D1516" w:rsidRPr="00DD4E74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3.</w:t>
      </w:r>
      <w:r w:rsidR="00F07EA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Определить дату составления списка лиц, имеющих право на получение дивидендов по обыкновенным акциям Общества по результатам 2024 года - 10 июля 2025 года (на конец операционного дня).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BCBA3B9E-EE8A-4375-83DD-F4C8334AAC1D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1A654E55-DF16-4F8D-AAE7-E6752F54C8BD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">
    <w:name w:val="Normal_9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